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附件1</w:t>
      </w:r>
    </w:p>
    <w:p>
      <w:pPr>
        <w:spacing w:line="560" w:lineRule="exact"/>
        <w:jc w:val="center"/>
        <w:rPr>
          <w:rFonts w:ascii="Times New Roman" w:hAnsi="Times New Roman" w:eastAsia="仿宋_GB2312" w:cs="Times New Roman"/>
          <w:color w:val="000000" w:themeColor="text1"/>
          <w:sz w:val="44"/>
          <w:szCs w:val="44"/>
          <w14:textFill>
            <w14:solidFill>
              <w14:schemeClr w14:val="tx1"/>
            </w14:solidFill>
          </w14:textFill>
        </w:rPr>
      </w:pP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第七届“一带一路”青少年创客营与教师</w:t>
      </w: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研讨活动线上课程简介</w:t>
      </w:r>
    </w:p>
    <w:p>
      <w:pPr>
        <w:spacing w:line="560" w:lineRule="exact"/>
        <w:ind w:firstLine="643" w:firstLineChars="200"/>
        <w:rPr>
          <w:rFonts w:ascii="Times New Roman" w:hAnsi="Times New Roman" w:eastAsia="仿宋_GB2312" w:cs="Times New Roman"/>
          <w:b/>
          <w:bCs/>
          <w:color w:val="000000" w:themeColor="text1"/>
          <w:sz w:val="32"/>
          <w:szCs w:val="32"/>
          <w14:textFill>
            <w14:solidFill>
              <w14:schemeClr w14:val="tx1"/>
            </w14:solidFill>
          </w14:textFill>
        </w:rPr>
      </w:pP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1.</w:t>
      </w:r>
      <w:r>
        <w:rPr>
          <w:rFonts w:hint="eastAsia" w:ascii="仿宋_GB2312" w:hAnsi="Times New Roman" w:eastAsia="仿宋_GB2312" w:cs="Times New Roman"/>
          <w:b/>
          <w:bCs/>
          <w:color w:val="000000" w:themeColor="text1"/>
          <w:sz w:val="32"/>
          <w:szCs w:val="32"/>
          <w14:textFill>
            <w14:solidFill>
              <w14:schemeClr w14:val="tx1"/>
            </w14:solidFill>
          </w14:textFill>
        </w:rPr>
        <w:t>“桥梁智能建造”课程：</w:t>
      </w:r>
      <w:r>
        <w:rPr>
          <w:rFonts w:hint="eastAsia" w:ascii="仿宋_GB2312" w:hAnsi="Times New Roman" w:eastAsia="仿宋_GB2312" w:cs="Times New Roman"/>
          <w:color w:val="000000" w:themeColor="text1"/>
          <w:sz w:val="32"/>
          <w:szCs w:val="32"/>
          <w14:textFill>
            <w14:solidFill>
              <w14:schemeClr w14:val="tx1"/>
            </w14:solidFill>
          </w14:textFill>
        </w:rPr>
        <w:t>围</w:t>
      </w:r>
      <w:r>
        <w:rPr>
          <w:rFonts w:ascii="Times New Roman" w:hAnsi="Times New Roman" w:eastAsia="仿宋_GB2312" w:cs="Times New Roman"/>
          <w:color w:val="000000" w:themeColor="text1"/>
          <w:sz w:val="32"/>
          <w:szCs w:val="32"/>
          <w14:textFill>
            <w14:solidFill>
              <w14:schemeClr w14:val="tx1"/>
            </w14:solidFill>
          </w14:textFill>
        </w:rPr>
        <w:t>绕桥梁发展历程、古代桥梁建造技术、桥梁智能建造（梁桥、拱桥、悬索桥、斜拉桥）等内容，由广西大学土木工程学院专家教授提供活动指南和图文资料等线上学习资源。学生完成学习后，完成挑战任务，提交作品。活动期间，主办方将邀请</w:t>
      </w:r>
      <w:r>
        <w:rPr>
          <w:rFonts w:ascii="Times New Roman" w:hAnsi="Times New Roman" w:eastAsia="仿宋_GB2312" w:cs="Times New Roman"/>
          <w:color w:val="000000" w:themeColor="text1"/>
          <w:sz w:val="32"/>
          <w:szCs w:val="32"/>
          <w:lang w:eastAsia="zh-Hans"/>
          <w14:textFill>
            <w14:solidFill>
              <w14:schemeClr w14:val="tx1"/>
            </w14:solidFill>
          </w14:textFill>
        </w:rPr>
        <w:t>相关领域</w:t>
      </w:r>
      <w:r>
        <w:rPr>
          <w:rFonts w:ascii="Times New Roman" w:hAnsi="Times New Roman" w:eastAsia="仿宋_GB2312" w:cs="Times New Roman"/>
          <w:color w:val="000000" w:themeColor="text1"/>
          <w:sz w:val="32"/>
          <w:szCs w:val="32"/>
          <w14:textFill>
            <w14:solidFill>
              <w14:schemeClr w14:val="tx1"/>
            </w14:solidFill>
          </w14:textFill>
        </w:rPr>
        <w:t>专家围绕课程内容进行指导和答疑，并组织各国师生开展在线交流讨论。</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2.</w:t>
      </w:r>
      <w:r>
        <w:rPr>
          <w:rFonts w:hint="eastAsia" w:ascii="仿宋_GB2312" w:hAnsi="Times New Roman" w:eastAsia="仿宋_GB2312" w:cs="Times New Roman"/>
          <w:b/>
          <w:bCs/>
          <w:color w:val="000000" w:themeColor="text1"/>
          <w:sz w:val="32"/>
          <w:szCs w:val="32"/>
          <w14:textFill>
            <w14:solidFill>
              <w14:schemeClr w14:val="tx1"/>
            </w14:solidFill>
          </w14:textFill>
        </w:rPr>
        <w:t>“急救科普”课程：</w:t>
      </w:r>
      <w:r>
        <w:rPr>
          <w:rFonts w:ascii="Times New Roman" w:hAnsi="Times New Roman" w:eastAsia="仿宋_GB2312" w:cs="Times New Roman"/>
          <w:color w:val="000000" w:themeColor="text1"/>
          <w:sz w:val="32"/>
          <w:szCs w:val="32"/>
          <w14:textFill>
            <w14:solidFill>
              <w14:schemeClr w14:val="tx1"/>
            </w14:solidFill>
          </w14:textFill>
        </w:rPr>
        <w:t>围绕成人徒手心肺复苏术、海姆立克急救法等课程内容，由广西医科大学附属第二医院的专家提供活动指南和图文资料等线上学习资源。学生完成学习后，完成挑战任务，提交作品。活动期间，主办方将邀请</w:t>
      </w:r>
      <w:r>
        <w:rPr>
          <w:rFonts w:ascii="Times New Roman" w:hAnsi="Times New Roman" w:eastAsia="仿宋_GB2312" w:cs="Times New Roman"/>
          <w:color w:val="000000" w:themeColor="text1"/>
          <w:sz w:val="32"/>
          <w:szCs w:val="32"/>
          <w:lang w:eastAsia="zh-Hans"/>
          <w14:textFill>
            <w14:solidFill>
              <w14:schemeClr w14:val="tx1"/>
            </w14:solidFill>
          </w14:textFill>
        </w:rPr>
        <w:t>相关领域</w:t>
      </w:r>
      <w:r>
        <w:rPr>
          <w:rFonts w:ascii="Times New Roman" w:hAnsi="Times New Roman" w:eastAsia="仿宋_GB2312" w:cs="Times New Roman"/>
          <w:color w:val="000000" w:themeColor="text1"/>
          <w:sz w:val="32"/>
          <w:szCs w:val="32"/>
          <w14:textFill>
            <w14:solidFill>
              <w14:schemeClr w14:val="tx1"/>
            </w14:solidFill>
          </w14:textFill>
        </w:rPr>
        <w:t>专家围绕课程内容进行指导和答疑，并组织各国师生开展在线交流讨论。</w:t>
      </w:r>
    </w:p>
    <w:p>
      <w:pPr>
        <w:spacing w:line="560" w:lineRule="exact"/>
        <w:ind w:firstLine="643"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3.</w:t>
      </w:r>
      <w:r>
        <w:rPr>
          <w:rFonts w:hint="eastAsia" w:ascii="仿宋_GB2312" w:hAnsi="Times New Roman" w:eastAsia="仿宋_GB2312" w:cs="Times New Roman"/>
          <w:b/>
          <w:bCs/>
          <w:color w:val="000000" w:themeColor="text1"/>
          <w:sz w:val="32"/>
          <w:szCs w:val="32"/>
          <w14:textFill>
            <w14:solidFill>
              <w14:schemeClr w14:val="tx1"/>
            </w14:solidFill>
          </w14:textFill>
        </w:rPr>
        <w:t>“中国剪纸”课</w:t>
      </w:r>
      <w:r>
        <w:rPr>
          <w:rFonts w:ascii="Times New Roman" w:hAnsi="Times New Roman" w:eastAsia="仿宋_GB2312" w:cs="Times New Roman"/>
          <w:b/>
          <w:bCs/>
          <w:color w:val="000000" w:themeColor="text1"/>
          <w:sz w:val="32"/>
          <w:szCs w:val="32"/>
          <w14:textFill>
            <w14:solidFill>
              <w14:schemeClr w14:val="tx1"/>
            </w14:solidFill>
          </w14:textFill>
        </w:rPr>
        <w:t>程：</w:t>
      </w:r>
      <w:r>
        <w:rPr>
          <w:rFonts w:ascii="Times New Roman" w:hAnsi="Times New Roman" w:eastAsia="仿宋_GB2312" w:cs="Times New Roman"/>
          <w:color w:val="000000" w:themeColor="text1"/>
          <w:sz w:val="32"/>
          <w:szCs w:val="32"/>
          <w14:textFill>
            <w14:solidFill>
              <w14:schemeClr w14:val="tx1"/>
            </w14:solidFill>
          </w14:textFill>
        </w:rPr>
        <w:t>围绕中国传统文化、动物、人物、建筑等剪纸内容，由中国非遗剪纸传承人提供活动指南和图文资料等线上学习资源。学生完成学习后，发挥创意，完成挑战，提交作品。活动期间，主办方将邀请中国非遗剪纸传承人围绕课程内容进行指导和答疑，并组织各国师生开展在线交流讨论。</w:t>
      </w:r>
    </w:p>
    <w:p>
      <w:pPr>
        <w:spacing w:line="560" w:lineRule="exact"/>
        <w:ind w:firstLine="643" w:firstLineChars="200"/>
        <w:rPr>
          <w:rFonts w:ascii="Times New Roman" w:hAnsi="Times New Roman" w:eastAsia="仿宋_GB2312" w:cs="Times New Roman"/>
          <w:color w:val="000000" w:themeColor="text1"/>
          <w14:textFill>
            <w14:solidFill>
              <w14:schemeClr w14:val="tx1"/>
            </w14:solidFill>
          </w14:textFill>
        </w:rPr>
      </w:pPr>
      <w:r>
        <w:rPr>
          <w:rFonts w:ascii="Times New Roman" w:hAnsi="Times New Roman" w:eastAsia="仿宋_GB2312" w:cs="Times New Roman"/>
          <w:b/>
          <w:bCs/>
          <w:color w:val="000000" w:themeColor="text1"/>
          <w:sz w:val="32"/>
          <w:szCs w:val="32"/>
          <w14:textFill>
            <w14:solidFill>
              <w14:schemeClr w14:val="tx1"/>
            </w14:solidFill>
          </w14:textFill>
        </w:rPr>
        <w:t>4.</w:t>
      </w:r>
      <w:r>
        <w:rPr>
          <w:rFonts w:hint="eastAsia" w:ascii="仿宋_GB2312" w:hAnsi="Times New Roman" w:eastAsia="仿宋_GB2312" w:cs="Times New Roman"/>
          <w:b/>
          <w:bCs/>
          <w:color w:val="000000" w:themeColor="text1"/>
          <w:sz w:val="32"/>
          <w:szCs w:val="32"/>
          <w14:textFill>
            <w14:solidFill>
              <w14:schemeClr w14:val="tx1"/>
            </w14:solidFill>
          </w14:textFill>
        </w:rPr>
        <w:t>“跟着大咖学科学”课程：</w:t>
      </w:r>
      <w:r>
        <w:rPr>
          <w:rFonts w:hint="eastAsia" w:ascii="仿宋_GB2312" w:hAnsi="Times New Roman" w:eastAsia="仿宋_GB2312" w:cs="Times New Roman"/>
          <w:color w:val="000000" w:themeColor="text1"/>
          <w:sz w:val="32"/>
          <w:szCs w:val="32"/>
          <w14:textFill>
            <w14:solidFill>
              <w14:schemeClr w14:val="tx1"/>
            </w14:solidFill>
          </w14:textFill>
        </w:rPr>
        <w:t>以“大手拉小手”“专家面对面”等</w:t>
      </w:r>
      <w:r>
        <w:rPr>
          <w:rFonts w:ascii="Times New Roman" w:hAnsi="Times New Roman" w:eastAsia="仿宋_GB2312" w:cs="Times New Roman"/>
          <w:color w:val="000000" w:themeColor="text1"/>
          <w:sz w:val="32"/>
          <w:szCs w:val="32"/>
          <w14:textFill>
            <w14:solidFill>
              <w14:schemeClr w14:val="tx1"/>
            </w14:solidFill>
          </w14:textFill>
        </w:rPr>
        <w:t>形式，由百万粉丝博主、中国网红科学家同济大学退休教</w:t>
      </w:r>
      <w:r>
        <w:rPr>
          <w:rFonts w:hint="eastAsia" w:ascii="仿宋_GB2312" w:hAnsi="Times New Roman" w:eastAsia="仿宋_GB2312" w:cs="Times New Roman"/>
          <w:color w:val="000000" w:themeColor="text1"/>
          <w:sz w:val="32"/>
          <w:szCs w:val="32"/>
          <w14:textFill>
            <w14:solidFill>
              <w14:schemeClr w14:val="tx1"/>
            </w14:solidFill>
          </w14:textFill>
        </w:rPr>
        <w:t>授“科学姥姥”吴於人，全新打造线上《跟着大咖学科学》科技教育版块，与师生一同开启“水流乒乓球”、“探究不倒的尺子”等</w:t>
      </w:r>
      <w:r>
        <w:rPr>
          <w:rFonts w:ascii="Times New Roman" w:hAnsi="Times New Roman" w:eastAsia="仿宋_GB2312" w:cs="Times New Roman"/>
          <w:color w:val="000000" w:themeColor="text1"/>
          <w:sz w:val="32"/>
          <w:szCs w:val="32"/>
          <w14:textFill>
            <w14:solidFill>
              <w14:schemeClr w14:val="tx1"/>
            </w14:solidFill>
          </w14:textFill>
        </w:rPr>
        <w:t>12个主题科学实验探究，揭秘身边的科学。学生完成学习后，完成挑战任务，提交作品。活动期间，主办方将邀请</w:t>
      </w:r>
      <w:r>
        <w:rPr>
          <w:rFonts w:ascii="Times New Roman" w:hAnsi="Times New Roman" w:eastAsia="仿宋_GB2312" w:cs="Times New Roman"/>
          <w:color w:val="000000" w:themeColor="text1"/>
          <w:sz w:val="32"/>
          <w:szCs w:val="32"/>
          <w:lang w:eastAsia="zh-Hans"/>
          <w14:textFill>
            <w14:solidFill>
              <w14:schemeClr w14:val="tx1"/>
            </w14:solidFill>
          </w14:textFill>
        </w:rPr>
        <w:t>相关领域科学教育专家，</w:t>
      </w:r>
      <w:r>
        <w:rPr>
          <w:rFonts w:ascii="Times New Roman" w:hAnsi="Times New Roman" w:eastAsia="仿宋_GB2312" w:cs="Times New Roman"/>
          <w:color w:val="000000" w:themeColor="text1"/>
          <w:sz w:val="32"/>
          <w:szCs w:val="32"/>
          <w14:textFill>
            <w14:solidFill>
              <w14:schemeClr w14:val="tx1"/>
            </w14:solidFill>
          </w14:textFill>
        </w:rPr>
        <w:t>围绕课程内容进行指导和答疑，并组织各国师生开展在线交流讨论。</w:t>
      </w:r>
    </w:p>
    <w:p>
      <w:pPr>
        <w:spacing w:line="560" w:lineRule="exact"/>
        <w:jc w:val="left"/>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Pr>
        <w:rPr>
          <w:rFonts w:ascii="仿宋_GB2312" w:hAnsi="仿宋_GB2312" w:eastAsia="仿宋_GB2312" w:cs="仿宋_GB2312"/>
          <w:color w:val="000000" w:themeColor="text1"/>
          <w:sz w:val="28"/>
          <w:szCs w:val="28"/>
          <w14:textFill>
            <w14:solidFill>
              <w14:schemeClr w14:val="tx1"/>
            </w14:solidFill>
          </w14:textFill>
        </w:rPr>
      </w:pPr>
    </w:p>
    <w:p>
      <w:pPr>
        <w:pStyle w:val="3"/>
        <w:rPr>
          <w:rFonts w:ascii="仿宋_GB2312" w:hAnsi="仿宋_GB2312" w:eastAsia="仿宋_GB2312" w:cs="仿宋_GB2312"/>
          <w:color w:val="000000" w:themeColor="text1"/>
          <w:sz w:val="28"/>
          <w:szCs w:val="28"/>
          <w14:textFill>
            <w14:solidFill>
              <w14:schemeClr w14:val="tx1"/>
            </w14:solidFill>
          </w14:textFill>
        </w:rPr>
      </w:pPr>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2762891-FB17-4743-AA69-7C911768E4FC}"/>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5D3BC7CE-36C5-4885-9192-1B9E4B3385B9}"/>
  </w:font>
  <w:font w:name="方正小标宋简体">
    <w:panose1 w:val="02000000000000000000"/>
    <w:charset w:val="86"/>
    <w:family w:val="script"/>
    <w:pitch w:val="default"/>
    <w:sig w:usb0="00000001" w:usb1="08000000" w:usb2="00000000" w:usb3="00000000" w:csb0="00040000" w:csb1="00000000"/>
    <w:embedRegular r:id="rId3" w:fontKey="{0C8E9F83-0B74-459B-808C-708572B58E6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zYjgzZGRlNmMxYmYzMmU4MWE3NWU3NGZlZTVkN2UifQ=="/>
  </w:docVars>
  <w:rsids>
    <w:rsidRoot w:val="00000000"/>
    <w:rsid w:val="06374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9"/>
    <w:pPr>
      <w:keepNext/>
      <w:keepLines/>
      <w:spacing w:line="580" w:lineRule="exact"/>
      <w:outlineLvl w:val="2"/>
    </w:pPr>
    <w:rPr>
      <w:rFonts w:eastAsia="楷体_GB231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2023-09-27T08:29:26Z</dcterms:created>
  <dc:creator>Administrator</dc:creator>
  <cp:lastModifiedBy>33</cp:lastModifiedBy>
  <dcterms:modified xsi:type="dcterms:W3CDTF">2023-09-27T08:29:51Z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F6188FB88C3741C1A55FB82F4D330AAA_12</vt:lpwstr>
  </property>
</Properties>
</file>